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BA0" w:rsidRDefault="00565BA0" w:rsidP="00565BA0">
      <w:pPr>
        <w:pStyle w:val="Heading1"/>
        <w:ind w:left="720"/>
      </w:pPr>
      <w:bookmarkStart w:id="0" w:name="_Toc140851940"/>
      <w:r>
        <w:t>BAB VI</w:t>
      </w:r>
      <w:bookmarkEnd w:id="0"/>
    </w:p>
    <w:p w:rsidR="00565BA0" w:rsidRDefault="00565BA0" w:rsidP="00565BA0">
      <w:pPr>
        <w:keepNext/>
        <w:keepLine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KESIMPULAN DAN SARAN</w:t>
      </w:r>
    </w:p>
    <w:p w:rsidR="00565BA0" w:rsidRDefault="00565BA0" w:rsidP="00565BA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BA0" w:rsidRDefault="00565BA0" w:rsidP="00565BA0">
      <w:pPr>
        <w:pStyle w:val="Heading2"/>
        <w:numPr>
          <w:ilvl w:val="0"/>
          <w:numId w:val="1"/>
        </w:numPr>
        <w:ind w:firstLine="0"/>
      </w:pPr>
      <w:bookmarkStart w:id="1" w:name="_Toc140851941"/>
      <w:r>
        <w:t>Kesimpulan</w:t>
      </w:r>
      <w:bookmarkEnd w:id="1"/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Kerjasama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bilateral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diplomasi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bilateral,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global. 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keseimbangan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G20.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dan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Electrification through Renewable Energy (ELREN).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didedikasikan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ELREN, Indonesia dan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Program ELREN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bilateral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dan Jerman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berkomitmen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memitigasi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Kerjasama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rakyatnya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menggandeng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mengoperasikan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dialihkan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ELREN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percontohan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off-grid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pedesaan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disinkronkan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distandarisasi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Manfaat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BA0" w:rsidRDefault="00565BA0" w:rsidP="00565BA0">
      <w:pPr>
        <w:pStyle w:val="Heading2"/>
        <w:numPr>
          <w:ilvl w:val="0"/>
          <w:numId w:val="1"/>
        </w:numPr>
        <w:ind w:firstLine="0"/>
      </w:pPr>
      <w:bookmarkStart w:id="2" w:name="_Toc140851942"/>
      <w:r>
        <w:t>Saran</w:t>
      </w:r>
      <w:bookmarkEnd w:id="2"/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optimal. Indonesia Pun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wilayah-wilayah 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terisolasi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meluaskan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microgrid,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menginstal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mikrohidro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kelistrikan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dijangkau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memberdayakan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pemeliharaan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proyek-proyek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ELREN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mengadopsi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ELREN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Jerman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diadopsi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wilayah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terjangkau.Langkah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terbarukan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regulasi-regulasi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didahulukan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Indonesia.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solid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ditetapkan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Hambatan-hambatan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masa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BA0" w:rsidRDefault="00565BA0" w:rsidP="00565BA0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BA0" w:rsidRDefault="00565BA0" w:rsidP="00565BA0">
      <w:pPr>
        <w:spacing w:after="200" w:line="276" w:lineRule="auto"/>
        <w:ind w:left="720" w:firstLine="567"/>
      </w:pPr>
    </w:p>
    <w:p w:rsidR="00565BA0" w:rsidRDefault="00565BA0" w:rsidP="00565BA0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9ED" w:rsidRDefault="007759ED" w:rsidP="00565BA0">
      <w:pPr>
        <w:ind w:left="720"/>
      </w:pPr>
    </w:p>
    <w:sectPr w:rsidR="007759ED" w:rsidSect="00565BA0">
      <w:footerReference w:type="default" r:id="rId7"/>
      <w:pgSz w:w="12240" w:h="15840"/>
      <w:pgMar w:top="1440" w:right="1440" w:bottom="1440" w:left="144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643" w:rsidRDefault="00F52643" w:rsidP="00565BA0">
      <w:pPr>
        <w:spacing w:after="0" w:line="240" w:lineRule="auto"/>
      </w:pPr>
      <w:r>
        <w:separator/>
      </w:r>
    </w:p>
  </w:endnote>
  <w:endnote w:type="continuationSeparator" w:id="0">
    <w:p w:rsidR="00F52643" w:rsidRDefault="00F52643" w:rsidP="0056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650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BA0" w:rsidRDefault="00565B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5BA0" w:rsidRDefault="00565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643" w:rsidRDefault="00F52643" w:rsidP="00565BA0">
      <w:pPr>
        <w:spacing w:after="0" w:line="240" w:lineRule="auto"/>
      </w:pPr>
      <w:r>
        <w:separator/>
      </w:r>
    </w:p>
  </w:footnote>
  <w:footnote w:type="continuationSeparator" w:id="0">
    <w:p w:rsidR="00F52643" w:rsidRDefault="00F52643" w:rsidP="0056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867"/>
    <w:multiLevelType w:val="multilevel"/>
    <w:tmpl w:val="083890E8"/>
    <w:lvl w:ilvl="0">
      <w:start w:val="1"/>
      <w:numFmt w:val="decimal"/>
      <w:lvlText w:val="VI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A0"/>
    <w:rsid w:val="00565BA0"/>
    <w:rsid w:val="006836D2"/>
    <w:rsid w:val="007759ED"/>
    <w:rsid w:val="00F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DD8A-C543-4681-AF8E-7D9D02E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A0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BA0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BA0"/>
    <w:pPr>
      <w:keepNext/>
      <w:keepLines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BA0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65BA0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A0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5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A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 addawami zen</dc:creator>
  <cp:keywords/>
  <dc:description/>
  <cp:lastModifiedBy>refi addawami zen</cp:lastModifiedBy>
  <cp:revision>1</cp:revision>
  <dcterms:created xsi:type="dcterms:W3CDTF">2023-07-25T04:41:00Z</dcterms:created>
  <dcterms:modified xsi:type="dcterms:W3CDTF">2023-07-25T04:43:00Z</dcterms:modified>
</cp:coreProperties>
</file>