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EFE" w:rsidRPr="00605EFE" w:rsidRDefault="00605EFE" w:rsidP="00605EFE">
      <w:pPr>
        <w:pStyle w:val="Heading1"/>
        <w:ind w:left="720"/>
      </w:pPr>
      <w:bookmarkStart w:id="0" w:name="_Toc140851934"/>
      <w:r w:rsidRPr="00605EFE">
        <w:t>BAB V</w:t>
      </w:r>
      <w:bookmarkEnd w:id="0"/>
    </w:p>
    <w:p w:rsidR="00605EFE" w:rsidRPr="00605EFE" w:rsidRDefault="00605EFE" w:rsidP="00605E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EFE">
        <w:rPr>
          <w:rFonts w:ascii="Times New Roman" w:eastAsia="Times New Roman" w:hAnsi="Times New Roman" w:cs="Times New Roman"/>
          <w:b/>
          <w:sz w:val="28"/>
          <w:szCs w:val="28"/>
        </w:rPr>
        <w:t>PELAKSANAAN KERJASAMA INDONESIA DAN JERMAN DALAM PENGEMBANGAN ENERGI BARU DAN TERBARUKAN (EBT)</w:t>
      </w:r>
    </w:p>
    <w:p w:rsidR="00605EFE" w:rsidRPr="00605EFE" w:rsidRDefault="00605EFE" w:rsidP="00605EFE">
      <w:pPr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Kementerian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Daya Mineral (Kementerian ESDM)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mengklasifikasikan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dua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UU No. 30/2007,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merujuk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nuklir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hidrogen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gas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metana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batubara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batubara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cair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gasifikasi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batu bara.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merujuk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sumber-sumber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diperbaharui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angin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, bio-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sinar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matahari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air,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pergerakan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Lauranti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Djamhari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2017).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Kementerian ESDM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membedakan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diperbaharui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diperbaharui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habis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batu bara,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berpotensi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nuklir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hidrogen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alamiah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diperbaharui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angin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biomassa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sinar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matahari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air,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ketergantungan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pengurangan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gas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kaca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Kementerian ESDM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merumuskan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strategi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mempromosikan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mengoptimalkan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melimpah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negara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Tabel 2.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</w:p>
    <w:tbl>
      <w:tblPr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10"/>
        <w:gridCol w:w="2126"/>
        <w:gridCol w:w="2374"/>
      </w:tblGrid>
      <w:tr w:rsidR="00605EFE" w:rsidRPr="00605EFE" w:rsidTr="00605EFE">
        <w:trPr>
          <w:jc w:val="center"/>
        </w:trPr>
        <w:tc>
          <w:tcPr>
            <w:tcW w:w="1440" w:type="dxa"/>
            <w:vAlign w:val="center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Jenis </w:t>
            </w:r>
            <w:proofErr w:type="spellStart"/>
            <w:r w:rsidRPr="00605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Energi</w:t>
            </w:r>
            <w:proofErr w:type="spellEnd"/>
          </w:p>
        </w:tc>
        <w:tc>
          <w:tcPr>
            <w:tcW w:w="2610" w:type="dxa"/>
            <w:vAlign w:val="center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Sumber</w:t>
            </w:r>
            <w:proofErr w:type="spellEnd"/>
            <w:r w:rsidRPr="00605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5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daya</w:t>
            </w:r>
            <w:proofErr w:type="spellEnd"/>
          </w:p>
        </w:tc>
        <w:tc>
          <w:tcPr>
            <w:tcW w:w="2126" w:type="dxa"/>
            <w:vAlign w:val="center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Kapasitas</w:t>
            </w:r>
            <w:proofErr w:type="spellEnd"/>
            <w:r w:rsidRPr="00605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5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terpasang</w:t>
            </w:r>
            <w:proofErr w:type="spellEnd"/>
          </w:p>
        </w:tc>
        <w:tc>
          <w:tcPr>
            <w:tcW w:w="2374" w:type="dxa"/>
            <w:vAlign w:val="center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Pemanfaatan</w:t>
            </w:r>
            <w:proofErr w:type="spellEnd"/>
          </w:p>
        </w:tc>
      </w:tr>
      <w:tr w:rsidR="00605EFE" w:rsidRPr="00605EFE" w:rsidTr="00605EFE">
        <w:trPr>
          <w:jc w:val="center"/>
        </w:trPr>
        <w:tc>
          <w:tcPr>
            <w:tcW w:w="144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Hidro</w:t>
            </w:r>
            <w:proofErr w:type="spellEnd"/>
          </w:p>
        </w:tc>
        <w:tc>
          <w:tcPr>
            <w:tcW w:w="2610" w:type="dxa"/>
          </w:tcPr>
          <w:p w:rsidR="00605EFE" w:rsidRPr="00605EFE" w:rsidRDefault="00605EFE" w:rsidP="00605EFE">
            <w:pPr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94,476 MW </w:t>
            </w:r>
          </w:p>
        </w:tc>
        <w:tc>
          <w:tcPr>
            <w:tcW w:w="2126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5,024 MW</w:t>
            </w:r>
          </w:p>
        </w:tc>
        <w:tc>
          <w:tcPr>
            <w:tcW w:w="2374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5.3%</w:t>
            </w:r>
          </w:p>
        </w:tc>
      </w:tr>
      <w:tr w:rsidR="00605EFE" w:rsidRPr="00605EFE" w:rsidTr="00605EFE">
        <w:trPr>
          <w:jc w:val="center"/>
        </w:trPr>
        <w:tc>
          <w:tcPr>
            <w:tcW w:w="144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Geotermal</w:t>
            </w:r>
            <w:proofErr w:type="spellEnd"/>
          </w:p>
        </w:tc>
        <w:tc>
          <w:tcPr>
            <w:tcW w:w="261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FE">
              <w:rPr>
                <w:rFonts w:ascii="Times New Roman" w:eastAsia="Times New Roman" w:hAnsi="Times New Roman" w:cs="Times New Roman"/>
                <w:sz w:val="20"/>
                <w:szCs w:val="20"/>
              </w:rPr>
              <w:t>29,544 MW</w:t>
            </w:r>
          </w:p>
        </w:tc>
        <w:tc>
          <w:tcPr>
            <w:tcW w:w="2126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1,403.5 MW</w:t>
            </w:r>
          </w:p>
        </w:tc>
        <w:tc>
          <w:tcPr>
            <w:tcW w:w="2374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4.8%</w:t>
            </w:r>
          </w:p>
        </w:tc>
      </w:tr>
      <w:tr w:rsidR="00605EFE" w:rsidRPr="00605EFE" w:rsidTr="00605EFE">
        <w:trPr>
          <w:jc w:val="center"/>
        </w:trPr>
        <w:tc>
          <w:tcPr>
            <w:tcW w:w="144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Bioenergi</w:t>
            </w:r>
            <w:proofErr w:type="spellEnd"/>
          </w:p>
        </w:tc>
        <w:tc>
          <w:tcPr>
            <w:tcW w:w="261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FE">
              <w:rPr>
                <w:rFonts w:ascii="Times New Roman" w:eastAsia="Times New Roman" w:hAnsi="Times New Roman" w:cs="Times New Roman"/>
                <w:sz w:val="20"/>
                <w:szCs w:val="20"/>
              </w:rPr>
              <w:t>32,000 MW and 200,000 bpd BBN</w:t>
            </w:r>
          </w:p>
        </w:tc>
        <w:tc>
          <w:tcPr>
            <w:tcW w:w="2126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1,740.4 MW</w:t>
            </w:r>
          </w:p>
        </w:tc>
        <w:tc>
          <w:tcPr>
            <w:tcW w:w="2374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605EFE" w:rsidRPr="00605EFE" w:rsidTr="00605EFE">
        <w:trPr>
          <w:jc w:val="center"/>
        </w:trPr>
        <w:tc>
          <w:tcPr>
            <w:tcW w:w="144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matahari</w:t>
            </w:r>
            <w:proofErr w:type="spellEnd"/>
          </w:p>
        </w:tc>
        <w:tc>
          <w:tcPr>
            <w:tcW w:w="261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FE">
              <w:rPr>
                <w:rFonts w:ascii="Times New Roman" w:eastAsia="Times New Roman" w:hAnsi="Times New Roman" w:cs="Times New Roman"/>
                <w:sz w:val="20"/>
                <w:szCs w:val="20"/>
              </w:rPr>
              <w:t>4.80 kWh/m/day ~ 207.9 GW</w:t>
            </w:r>
          </w:p>
        </w:tc>
        <w:tc>
          <w:tcPr>
            <w:tcW w:w="2126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78.5 MW</w:t>
            </w:r>
          </w:p>
        </w:tc>
        <w:tc>
          <w:tcPr>
            <w:tcW w:w="2374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605EFE" w:rsidRPr="00605EFE" w:rsidTr="00605EFE">
        <w:trPr>
          <w:jc w:val="center"/>
        </w:trPr>
        <w:tc>
          <w:tcPr>
            <w:tcW w:w="144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Angin</w:t>
            </w:r>
            <w:proofErr w:type="spellEnd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hibrida</w:t>
            </w:r>
            <w:proofErr w:type="spellEnd"/>
          </w:p>
        </w:tc>
        <w:tc>
          <w:tcPr>
            <w:tcW w:w="261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FE">
              <w:rPr>
                <w:rFonts w:ascii="Times New Roman" w:eastAsia="Times New Roman" w:hAnsi="Times New Roman" w:cs="Times New Roman"/>
                <w:sz w:val="20"/>
                <w:szCs w:val="20"/>
              </w:rPr>
              <w:t>3-6 m/s ~ 60 GW</w:t>
            </w:r>
          </w:p>
        </w:tc>
        <w:tc>
          <w:tcPr>
            <w:tcW w:w="2126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3.1 MW</w:t>
            </w:r>
          </w:p>
        </w:tc>
        <w:tc>
          <w:tcPr>
            <w:tcW w:w="2374" w:type="dxa"/>
          </w:tcPr>
          <w:p w:rsidR="00605EFE" w:rsidRPr="00605EFE" w:rsidRDefault="00605EFE" w:rsidP="00605EFE">
            <w:pPr>
              <w:ind w:left="7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EFE" w:rsidRPr="00605EFE" w:rsidTr="00605EFE">
        <w:trPr>
          <w:jc w:val="center"/>
        </w:trPr>
        <w:tc>
          <w:tcPr>
            <w:tcW w:w="144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laut</w:t>
            </w:r>
            <w:proofErr w:type="spellEnd"/>
          </w:p>
        </w:tc>
        <w:tc>
          <w:tcPr>
            <w:tcW w:w="2610" w:type="dxa"/>
          </w:tcPr>
          <w:p w:rsidR="00605EFE" w:rsidRPr="00605EFE" w:rsidRDefault="00605EFE" w:rsidP="00605EFE">
            <w:pPr>
              <w:ind w:left="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FE">
              <w:rPr>
                <w:rFonts w:ascii="Times New Roman" w:eastAsia="Times New Roman" w:hAnsi="Times New Roman" w:cs="Times New Roman"/>
                <w:sz w:val="20"/>
                <w:szCs w:val="20"/>
              </w:rPr>
              <w:t>61 GW2 Wave: 1,995 MW Ocean thermal (OTEC): 41,001 MW Ocean currents: 17,989 MW</w:t>
            </w:r>
          </w:p>
        </w:tc>
        <w:tc>
          <w:tcPr>
            <w:tcW w:w="2126" w:type="dxa"/>
          </w:tcPr>
          <w:p w:rsidR="00605EFE" w:rsidRPr="00605EFE" w:rsidRDefault="00605EFE" w:rsidP="00605EFE">
            <w:pPr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FE">
              <w:rPr>
                <w:rFonts w:ascii="Times New Roman" w:eastAsia="Times New Roman" w:hAnsi="Times New Roman" w:cs="Times New Roman"/>
                <w:sz w:val="24"/>
                <w:szCs w:val="24"/>
              </w:rPr>
              <w:t>0.01 MW</w:t>
            </w:r>
          </w:p>
        </w:tc>
        <w:tc>
          <w:tcPr>
            <w:tcW w:w="2374" w:type="dxa"/>
          </w:tcPr>
          <w:p w:rsidR="00605EFE" w:rsidRPr="00605EFE" w:rsidRDefault="00605EFE" w:rsidP="00605EFE">
            <w:pPr>
              <w:ind w:left="7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5EFE" w:rsidRPr="00605EFE" w:rsidRDefault="00605EFE" w:rsidP="00605EF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Dewan </w:t>
      </w: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 Nasional, Indonesia Energy Outlook 2015 (Jakarta: Dewan </w:t>
      </w: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 Nasional, 2016)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Sektor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mengkonsumsi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76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persen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tercatat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dunia,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kompetitif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lanskap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Luhut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Laucereno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2022). Iskandar et al. (2022) </w:t>
      </w:r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Indonesia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bergantung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keberlangsungan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Indonesia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transisi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konsistensi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perencanaan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legislasi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pengendalian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60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optimal.</w:t>
      </w:r>
    </w:p>
    <w:p w:rsidR="00605EFE" w:rsidRPr="00605EFE" w:rsidRDefault="00605EFE" w:rsidP="00605EFE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hAnsi="Times New Roman" w:cs="Times New Roman"/>
          <w:noProof/>
        </w:rPr>
        <w:drawing>
          <wp:inline distT="0" distB="0" distL="0" distR="0" wp14:anchorId="74553272" wp14:editId="037D37FA">
            <wp:extent cx="2404201" cy="1706211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l="51503" t="40645" r="26010" b="30968"/>
                    <a:stretch>
                      <a:fillRect/>
                    </a:stretch>
                  </pic:blipFill>
                  <pic:spPr>
                    <a:xfrm>
                      <a:off x="0" y="0"/>
                      <a:ext cx="2404201" cy="1706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EFE" w:rsidRPr="00605EFE" w:rsidRDefault="00605EFE" w:rsidP="00605EFE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Gambar 2.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Bauran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primer, 2015</w:t>
      </w:r>
    </w:p>
    <w:p w:rsidR="00605EFE" w:rsidRPr="00605EFE" w:rsidRDefault="00605EFE" w:rsidP="00605EF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: Kementerian </w:t>
      </w: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 Daya Mineral, </w:t>
      </w: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Renstra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 Kementerian ESDM 2015-2019 Program Sektor </w:t>
      </w: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 (Jakarta: Kementerian ESDM, 2016)</w:t>
      </w:r>
    </w:p>
    <w:p w:rsidR="00605EFE" w:rsidRPr="00605EFE" w:rsidRDefault="00605EFE" w:rsidP="00605EFE">
      <w:pPr>
        <w:spacing w:after="0" w:line="360" w:lineRule="auto"/>
        <w:ind w:left="720" w:firstLine="567"/>
        <w:jc w:val="center"/>
        <w:rPr>
          <w:rFonts w:ascii="Times New Roman" w:hAnsi="Times New Roman" w:cs="Times New Roman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Kusdiana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(2021)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memaksimalkan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(EBT)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sejalan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program,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atap,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Green Industry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program De-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dieselisasi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cold storage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perikanan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relatif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mahal,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netral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karbon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kebanyakan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polusi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LSM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menggantikan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mengimplementasikan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kemandirian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mengupayakan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solusinya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75D92F55" wp14:editId="27F9D4F4">
                <wp:simplePos x="0" y="0"/>
                <wp:positionH relativeFrom="column">
                  <wp:posOffset>984430</wp:posOffset>
                </wp:positionH>
                <wp:positionV relativeFrom="paragraph">
                  <wp:posOffset>224477</wp:posOffset>
                </wp:positionV>
                <wp:extent cx="4955858" cy="15811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5858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5EFE" w:rsidRDefault="00605EFE" w:rsidP="00605EF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92F55" id="Rectangle 3" o:spid="_x0000_s1026" style="position:absolute;left:0;text-align:left;margin-left:77.5pt;margin-top:17.7pt;width:390.25pt;height:124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05EFE" w:rsidRDefault="00605EFE" w:rsidP="00605EF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5EFE" w:rsidRPr="00605EFE" w:rsidRDefault="00605EFE" w:rsidP="00605EFE">
      <w:pPr>
        <w:spacing w:after="0" w:line="360" w:lineRule="auto"/>
        <w:ind w:left="7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66B5EE5">
            <wp:simplePos x="0" y="0"/>
            <wp:positionH relativeFrom="margin">
              <wp:posOffset>1188492</wp:posOffset>
            </wp:positionH>
            <wp:positionV relativeFrom="paragraph">
              <wp:posOffset>26679</wp:posOffset>
            </wp:positionV>
            <wp:extent cx="4487438" cy="1432077"/>
            <wp:effectExtent l="0" t="0" r="8890" b="0"/>
            <wp:wrapSquare wrapText="bothSides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1" t="31692" r="25612" b="40905"/>
                    <a:stretch>
                      <a:fillRect/>
                    </a:stretch>
                  </pic:blipFill>
                  <pic:spPr>
                    <a:xfrm>
                      <a:off x="0" y="0"/>
                      <a:ext cx="4487438" cy="14320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05EFE" w:rsidRPr="00605EFE" w:rsidRDefault="00605EFE" w:rsidP="00605E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Gambar 3.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Komposisi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Desember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:rsidR="00605EFE" w:rsidRPr="00605EFE" w:rsidRDefault="00605EFE" w:rsidP="00605E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5EFE" w:rsidRPr="00605EFE" w:rsidRDefault="00605EFE" w:rsidP="00605E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:  PT Perusahaan Listrik Negara, Electricity Supply Business Plan 2016 </w:t>
      </w:r>
      <w:proofErr w:type="gramStart"/>
      <w:r w:rsidRPr="00605EFE">
        <w:rPr>
          <w:rFonts w:ascii="Times New Roman" w:eastAsia="Times New Roman" w:hAnsi="Times New Roman" w:cs="Times New Roman"/>
          <w:sz w:val="20"/>
          <w:szCs w:val="20"/>
        </w:rPr>
        <w:t>–  2025</w:t>
      </w:r>
      <w:proofErr w:type="gramEnd"/>
      <w:r w:rsidRPr="00605EFE">
        <w:rPr>
          <w:rFonts w:ascii="Times New Roman" w:eastAsia="Times New Roman" w:hAnsi="Times New Roman" w:cs="Times New Roman"/>
          <w:sz w:val="20"/>
          <w:szCs w:val="20"/>
        </w:rPr>
        <w:t xml:space="preserve"> (Jakarta: PT PLN, 2017).</w:t>
      </w:r>
    </w:p>
    <w:p w:rsidR="00605EFE" w:rsidRPr="00605EFE" w:rsidRDefault="00605EFE" w:rsidP="00605EFE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EBTKE (2014)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melansir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sangat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dioptimalkan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dimanfaatkan</w:t>
      </w:r>
      <w:proofErr w:type="spellEnd"/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hidro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angin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polusi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diperbaharui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halnya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menjangkau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wilayah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pedalaman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Wilayah-wilayah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semula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tersentuh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on grid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wilayah yang </w:t>
      </w:r>
      <w:proofErr w:type="spellStart"/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off grid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PLTS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Off-Grid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Listrik Tenaga Surya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Off-Grid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diandalkan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wilayah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tergantung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cuaca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panel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stabil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intensitas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sinar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matahari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panel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Dan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buruknya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diperlukannya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dimaksimalkan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Stt-pln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, 2018).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pStyle w:val="Heading2"/>
        <w:numPr>
          <w:ilvl w:val="0"/>
          <w:numId w:val="1"/>
        </w:numPr>
        <w:ind w:firstLine="0"/>
      </w:pPr>
      <w:bookmarkStart w:id="1" w:name="_Toc140851935"/>
      <w:r w:rsidRPr="00605EFE">
        <w:t xml:space="preserve">Gambaran </w:t>
      </w:r>
      <w:proofErr w:type="spellStart"/>
      <w:r w:rsidRPr="00605EFE">
        <w:t>kerjasama</w:t>
      </w:r>
      <w:proofErr w:type="spellEnd"/>
      <w:r w:rsidRPr="00605EFE">
        <w:t xml:space="preserve"> Indonesia </w:t>
      </w:r>
      <w:proofErr w:type="spellStart"/>
      <w:r w:rsidRPr="00605EFE">
        <w:t>dengan</w:t>
      </w:r>
      <w:proofErr w:type="spellEnd"/>
      <w:r w:rsidRPr="00605EFE">
        <w:t xml:space="preserve"> Jerman di </w:t>
      </w:r>
      <w:proofErr w:type="spellStart"/>
      <w:r w:rsidRPr="00605EFE">
        <w:t>bidang</w:t>
      </w:r>
      <w:proofErr w:type="spellEnd"/>
      <w:r w:rsidRPr="00605EFE">
        <w:t xml:space="preserve"> </w:t>
      </w:r>
      <w:proofErr w:type="spellStart"/>
      <w:r w:rsidRPr="00605EFE">
        <w:t>Transisi</w:t>
      </w:r>
      <w:proofErr w:type="spellEnd"/>
      <w:r w:rsidRPr="00605EFE">
        <w:t xml:space="preserve"> </w:t>
      </w:r>
      <w:proofErr w:type="spellStart"/>
      <w:r w:rsidRPr="00605EFE">
        <w:t>Energi</w:t>
      </w:r>
      <w:bookmarkEnd w:id="1"/>
      <w:proofErr w:type="spellEnd"/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Laucereno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(2022)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dan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mempererat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jalinan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(EBT).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memetik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Jerman,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unjuk-gigi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wujud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bilateral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wilayah Indonesia.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berkomitmen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mewujudkan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memaksimalkan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(EBTKE, 2014).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Electrification through Renewable Energy (ELREN)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keahlian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kaya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ELREN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diinisiasi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Kementerian Kerjasama Ekonomi dan Pembangunan Jerman (BMZ)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German Development Cooperation (GIZ)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ELREN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mendekati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universal di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lastRenderedPageBreak/>
        <w:t>memiliki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mikrohidro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memasok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-grid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desa-desa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dihadapkan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-grid,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Tujuan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utamanya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menginstitusikan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Indonesia. Dalam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rangka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mengintegrasikan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platform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kesetaraan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gender,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dan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ELREN,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Indonesia. (GIZ,2017).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Jerman,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Kementerian Kerjasama Ekonomi dan Pembangunan Federal (BMZ),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program "1,000 Islands – Renewable Energy for Electrification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Phase II (REEP2)" di Indonesia. Program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target 23%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bauran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2025. REEP2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perbaikan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terdesentralisasi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ekspansi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pengalihan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difokuskan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wilayah Sulawesi dan Nusa Tenggara Timur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 (GIZ,2022).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holistik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lembaga-lembaga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dikoordinasikan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negeri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kisah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melistriki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desa-desa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Anchor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penyedia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memasang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memeriksa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mengoperasikan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memelihara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lastRenderedPageBreak/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ditingkatkan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ditransfer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wilayah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bersamaan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ELREN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perbaikan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wilayah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percontohan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 (GIZ, 2017)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menjangkau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pedalaman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berguna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Indonesia. Masyarakat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tempat-tempat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on-grid.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wilayahnya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menunggu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sambungan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PLN.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batu bara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PT. PLN Persero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memperkenalkan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ketenagalistrikan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(ET) off-grid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Upaya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permintaan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langkah-langkah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pemangku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Juni 2018,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terpasang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9.223,9 MW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(Solar PV)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94,42 MW.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Pemasangan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600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konvensional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ET off-grid, PT. PLN Persero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berupaya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mengandalkan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PT. PLN Persero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Pengurangan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gas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kaca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negatifnya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Dalam proses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ET off-grid, PT. PLN Persero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pemangku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kesuksesan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ketenagalistrikan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ET off-grid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PT. PLN Persero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ketenagalistrikan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geografis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setempat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permintaan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ET off-grid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PT. PLN Persero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diandalkan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terwujud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Indonesia. Yusuf (2019)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disetujuinya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RUPTL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Usaha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Penyediaan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Tenaga Listrik)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PT PLN Persero pada 20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Februari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PT. PLN Persero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penyediaan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penggelaran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16.718 </w:t>
      </w:r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</w:rPr>
        <w:t>MW .</w:t>
      </w:r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PT PLN Persero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berencana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melistriki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1.908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(439.224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pasokan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56.028.000 kW/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Kwp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100%,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(LISDES – Listrik Desa).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pStyle w:val="Heading2"/>
        <w:numPr>
          <w:ilvl w:val="0"/>
          <w:numId w:val="1"/>
        </w:numPr>
        <w:ind w:firstLine="0"/>
      </w:pPr>
      <w:bookmarkStart w:id="2" w:name="_Toc140851936"/>
      <w:proofErr w:type="spellStart"/>
      <w:r w:rsidRPr="00605EFE">
        <w:t>Motivasi</w:t>
      </w:r>
      <w:proofErr w:type="spellEnd"/>
      <w:r w:rsidRPr="00605EFE">
        <w:t xml:space="preserve"> </w:t>
      </w:r>
      <w:proofErr w:type="spellStart"/>
      <w:r w:rsidRPr="00605EFE">
        <w:t>kerjasama</w:t>
      </w:r>
      <w:bookmarkEnd w:id="2"/>
      <w:proofErr w:type="spellEnd"/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Kerjasama bilateral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negara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memajukan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mensejahterakan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rakyat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Kerjasama bilateral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digandeng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modern sangat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mengimbangi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(Lepel, 2021). Lepel (2021)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mengatakah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 Jerman</w:t>
      </w:r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wilayah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perkotaan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Sektor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area inti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bilateral Jerman-Indonesia. Kerjasama Indonesia dan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diselenggarakan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perwakilan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Lembaga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Pelaksana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Kerjasama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Jerman, GIZ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Jenderal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Baru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Konservasi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(EBTKE, 2021).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2011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Federal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kuatnya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bilateral Indonesia dan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komprehensif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diusulkan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 xml:space="preserve">clean </w:t>
      </w:r>
      <w:proofErr w:type="spellStart"/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clean coal technology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(setneg.go.id, 2017).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Setiawan (2018)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–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optimal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progresifitas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 xml:space="preserve">green renewable </w:t>
      </w:r>
      <w:proofErr w:type="spellStart"/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disepakatinya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zero emission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berkadar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0%) di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2025.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bertempat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Jakarta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terciptanya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menyepakati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LoI (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Letter of Intent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). Hal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menandakan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keseriusan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continuing cooperations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memperbanyak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keberadaan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wind turbine,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lain-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pStyle w:val="Heading3"/>
        <w:numPr>
          <w:ilvl w:val="0"/>
          <w:numId w:val="2"/>
        </w:numPr>
        <w:ind w:firstLine="0"/>
      </w:pPr>
      <w:bookmarkStart w:id="3" w:name="_Toc140851937"/>
      <w:r w:rsidRPr="00605EFE">
        <w:t xml:space="preserve">Target </w:t>
      </w:r>
      <w:proofErr w:type="spellStart"/>
      <w:r w:rsidRPr="00605EFE">
        <w:t>kerjasama</w:t>
      </w:r>
      <w:bookmarkEnd w:id="3"/>
      <w:proofErr w:type="spellEnd"/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Kerjasama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 xml:space="preserve">Electrification through Renewable </w:t>
      </w:r>
      <w:proofErr w:type="spellStart"/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(ELREN)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Indonesia-Jerman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mengenalkan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off-grid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aktual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off-grid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rantai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proses PLTS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lastRenderedPageBreak/>
        <w:t>perencanaan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pengadaan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konstruksi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rantai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agar proses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tersinkronisasi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terstandarisasi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 (GIZ, 2017)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Program ELREN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(a)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fungsional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(RE) di Indonesia, (b)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mengintegrasikan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cakupan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(ET) off-grid program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(c)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Jenderal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Baru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Konservasi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(EBTKE)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didukung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mempertimbangkan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melembagakan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off-grid di Indonesia (GFA project, 2017)</w:t>
      </w:r>
    </w:p>
    <w:p w:rsidR="00605EFE" w:rsidRPr="00605EFE" w:rsidRDefault="00605EFE" w:rsidP="00605EFE">
      <w:pPr>
        <w:spacing w:after="0" w:line="360" w:lineRule="auto"/>
        <w:ind w:left="7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pStyle w:val="Heading2"/>
        <w:numPr>
          <w:ilvl w:val="0"/>
          <w:numId w:val="1"/>
        </w:numPr>
        <w:ind w:firstLine="0"/>
      </w:pPr>
      <w:bookmarkStart w:id="4" w:name="_Toc140851938"/>
      <w:proofErr w:type="spellStart"/>
      <w:r w:rsidRPr="00605EFE">
        <w:t>Pelaksanaan</w:t>
      </w:r>
      <w:proofErr w:type="spellEnd"/>
      <w:r w:rsidRPr="00605EFE">
        <w:t xml:space="preserve"> </w:t>
      </w:r>
      <w:proofErr w:type="spellStart"/>
      <w:r w:rsidRPr="00605EFE">
        <w:t>kerjasama</w:t>
      </w:r>
      <w:bookmarkEnd w:id="4"/>
      <w:proofErr w:type="spellEnd"/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Kerjasama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jerman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 xml:space="preserve">Electrification through Renewable </w:t>
      </w:r>
      <w:proofErr w:type="spellStart"/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(ELREN)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2019 (GIZ, 2017). Salah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forum 2018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Indonesian – German Renewable Energy Day (RE Day</w:t>
      </w:r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605EFE">
        <w:rPr>
          <w:rFonts w:ascii="Times New Roman" w:eastAsia="Arial" w:hAnsi="Times New Roman" w:cs="Times New Roman"/>
          <w:color w:val="4A4A4A"/>
          <w:highlight w:val="white"/>
        </w:rPr>
        <w:t xml:space="preserve"> </w:t>
      </w:r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yang</w:t>
      </w:r>
      <w:r w:rsidRPr="00605EFE">
        <w:rPr>
          <w:rFonts w:ascii="Times New Roman" w:eastAsia="Arial" w:hAnsi="Times New Roman" w:cs="Times New Roman"/>
          <w:color w:val="4A4A4A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merupakan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terbukanya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peluang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kedua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negara dan </w:t>
      </w:r>
      <w:proofErr w:type="spellStart"/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keterlibatannya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perusahaan</w:t>
      </w:r>
      <w:proofErr w:type="spellEnd"/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perusahaan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Indonesia dan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bidang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Kegiatan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dihadiri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lembaga-lembaga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pemerintahan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terkait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perusahaan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asosiasi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sektor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lembaga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pendanaan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proyek-proyek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lembaga-lembaga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swasta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bergerak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sektor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selain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membahas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pengalaman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transisi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ke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ada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solusi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diadopsi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oleh Indonesia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sedang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melakukan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transisi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kegiatan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membahas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implementasi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terutama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pulau-pulau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beban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dibawah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10 MW dan 10-100 MW. Serta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penandatanganan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nota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kesepahaman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atau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Memorandum of Understanding</w:t>
      </w:r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MoU) 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antara</w:t>
      </w:r>
      <w:proofErr w:type="spellEnd"/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Asosiasi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Surya Indonesia (AESI)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Bundesverband</w:t>
      </w:r>
      <w:proofErr w:type="spellEnd"/>
      <w:r w:rsidRPr="00605EF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Solarwirtschaft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(BSW) dan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Memorandum of Understanding</w:t>
      </w:r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Perkumpulan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Pengguna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Listrik Surya Atap (PPLSA) -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Bundesverband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Solarwirtschaft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(BSW). Nota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Kesepahaman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meliputi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perencanaan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lanjut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Asosiasi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Indonesia dan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terkait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capacity building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asosiasi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EBT (EBTKE, 2018).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Selama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Januari – Maret 2019, program ELREN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: (1) ELREN 3: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pelatih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; (2) ELREN 4: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kelembagaan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; (3) ELREN 5: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penggantian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pembuangan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baterai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; (4) ELREN 6: platform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Rauch (2018)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direktur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renewable energy program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GIZ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mengapresiasi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penyediaan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luasnya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keunikan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geografi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kepulauan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5EFE">
        <w:rPr>
          <w:rFonts w:ascii="Times New Roman" w:eastAsia="Times New Roman" w:hAnsi="Times New Roman" w:cs="Times New Roman"/>
          <w:sz w:val="24"/>
          <w:szCs w:val="24"/>
        </w:rPr>
        <w:t>terbesar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98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persen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membanggakan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Haris (2018)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berkomitmen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area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off-grid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(PLTS)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mini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hidro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PLTMh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PLTMh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700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Dari total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8,4%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Dalam ELREN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Haris (2018)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off-grid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diupayakan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23%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bauran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tercapai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C4E1131" wp14:editId="79F651D3">
                <wp:simplePos x="0" y="0"/>
                <wp:positionH relativeFrom="column">
                  <wp:posOffset>1691726</wp:posOffset>
                </wp:positionH>
                <wp:positionV relativeFrom="paragraph">
                  <wp:posOffset>135265</wp:posOffset>
                </wp:positionV>
                <wp:extent cx="3320756" cy="2505719"/>
                <wp:effectExtent l="0" t="0" r="1333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756" cy="250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5EFE" w:rsidRDefault="00605EFE" w:rsidP="00605EF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E1131" id="Rectangle 2" o:spid="_x0000_s1027" style="position:absolute;left:0;text-align:left;margin-left:133.2pt;margin-top:10.65pt;width:261.5pt;height:197.3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05EFE" w:rsidRDefault="00605EFE" w:rsidP="00605EF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5EFE" w:rsidRPr="00605EFE" w:rsidRDefault="00605EFE" w:rsidP="00605EFE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9AE015D" wp14:editId="2377346A">
            <wp:extent cx="3083492" cy="2343198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l="26439" t="16929" r="27834" b="21260"/>
                    <a:stretch>
                      <a:fillRect/>
                    </a:stretch>
                  </pic:blipFill>
                  <pic:spPr>
                    <a:xfrm>
                      <a:off x="0" y="0"/>
                      <a:ext cx="3083492" cy="2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EFE" w:rsidRPr="00605EFE" w:rsidRDefault="00605EFE" w:rsidP="00605EFE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Gambar 4: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</w:p>
    <w:p w:rsidR="00605EFE" w:rsidRPr="00605EFE" w:rsidRDefault="00605EFE" w:rsidP="00605EFE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ab/>
        <w:t>: https://mentari.info/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PLN (2021)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wilayah regional MPNT (Maluku, Papua, Nusa Tenggara)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95%.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perdesaan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5EFE" w:rsidRPr="00605EFE" w:rsidRDefault="00605EFE" w:rsidP="00605EFE">
      <w:pPr>
        <w:numPr>
          <w:ilvl w:val="0"/>
          <w:numId w:val="3"/>
        </w:numPr>
        <w:spacing w:after="0" w:line="360" w:lineRule="auto"/>
        <w:ind w:left="81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Melistriki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lama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dusun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numPr>
          <w:ilvl w:val="0"/>
          <w:numId w:val="4"/>
        </w:numPr>
        <w:spacing w:after="0" w:line="360" w:lineRule="auto"/>
        <w:ind w:left="81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Perluasan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existing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berdekatan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disertai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numPr>
          <w:ilvl w:val="0"/>
          <w:numId w:val="5"/>
        </w:numPr>
        <w:spacing w:after="0" w:line="360" w:lineRule="auto"/>
        <w:ind w:left="8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Pembangunan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EBT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Komunal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Tower PV, Solar Home System dan APDAL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melistriki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terisolasi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existing.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Tabung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Listrik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battery bank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APDAL.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APDAL (Alat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Penyimpan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Daya Listrik)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stasiun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SPEL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Stasiun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Listrik).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SPEL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dipasok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PLTS, PLT Bayu, PLTMH/PLTPH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PLTBm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program ELREN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PLTS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PLTMh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Kutai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Kalimantan Timur dan KSU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puncak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Ngengas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Sumbawa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pendorong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bengkel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moulding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wallet,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penggilingan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ikan,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ikan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produktivitas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tambah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kopi. </w:t>
      </w:r>
    </w:p>
    <w:p w:rsidR="00605EFE" w:rsidRPr="00605EFE" w:rsidRDefault="00605EFE" w:rsidP="00605EFE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228214" wp14:editId="59E4FC40">
            <wp:extent cx="4598852" cy="2585623"/>
            <wp:effectExtent l="0" t="0" r="0" b="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8852" cy="2585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EFE" w:rsidRPr="00605EFE" w:rsidRDefault="00605EFE" w:rsidP="00605EFE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Gambar 5: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Listrik Tenaga Surya (PLTS)</w:t>
      </w:r>
    </w:p>
    <w:p w:rsidR="00605EFE" w:rsidRPr="00605EFE" w:rsidRDefault="00605EFE" w:rsidP="00605EFE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05EFE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0"/>
          <w:szCs w:val="20"/>
        </w:rPr>
        <w:tab/>
        <w:t>: https://www.cnbcindonesia.com/</w:t>
      </w:r>
    </w:p>
    <w:p w:rsidR="00605EFE" w:rsidRPr="00605EFE" w:rsidRDefault="00605EFE" w:rsidP="00605EFE">
      <w:pPr>
        <w:spacing w:after="0" w:line="36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FE" w:rsidRPr="00605EFE" w:rsidRDefault="00605EFE" w:rsidP="00605EFE">
      <w:pPr>
        <w:pStyle w:val="Heading2"/>
        <w:numPr>
          <w:ilvl w:val="0"/>
          <w:numId w:val="1"/>
        </w:numPr>
        <w:ind w:firstLine="0"/>
      </w:pPr>
      <w:bookmarkStart w:id="5" w:name="_Toc140851939"/>
      <w:proofErr w:type="spellStart"/>
      <w:r w:rsidRPr="00605EFE">
        <w:t>Tantangan</w:t>
      </w:r>
      <w:proofErr w:type="spellEnd"/>
      <w:r w:rsidRPr="00605EFE">
        <w:t xml:space="preserve"> </w:t>
      </w:r>
      <w:proofErr w:type="spellStart"/>
      <w:r w:rsidRPr="00605EFE">
        <w:t>kerjasama</w:t>
      </w:r>
      <w:bookmarkEnd w:id="5"/>
      <w:proofErr w:type="spellEnd"/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mengoptimalkan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aksesibilitas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keterjangkauan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berkomitmen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mewujudkan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berkeadilan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handal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Indonesia. Guna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mewujudkannya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memaksimalkan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menjamin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keterjangkauan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hAnsi="Times New Roman" w:cs="Times New Roman"/>
        </w:rPr>
        <w:t>.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PLN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non-PLN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total (Bps, 2020). 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Selama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2010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2018,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67,2%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98,05%.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bauran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didominasi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batubara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58,64%, gas 22,48%,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6,18%,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12,71%.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Nasional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menargetkan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23%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bauran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45 GW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dipasok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pada 2025 (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Ebtke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, 2018).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Dalam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negeri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negeri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negara-negara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Dukungan-dukungan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pendanaan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proyek-proyek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negara-negara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teknologi-teknologi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di Indonesia. 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terjalin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dan Jerman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sangat lama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berharap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dan Jerman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23% pada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lain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4"/>
          <w:szCs w:val="24"/>
        </w:rPr>
        <w:t>Mindset</w:t>
      </w: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tingginya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ketergantungan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ketergantungan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transportasi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industry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juga di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sandang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papan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Tidak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dipungkiri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serius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Adanya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didasari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subsidi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ketidakpedulian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Subsidi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murah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andalan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Selain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menganggap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kebiasaan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memedulikan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Masyarakat juga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biomassa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menolak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biomassa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mahal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biayanya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merugikan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lastRenderedPageBreak/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akademisi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pikir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menganggap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remeh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Baru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Akademisi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EBT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mengaplikasikan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bermasyarakat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bernegara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pemuda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berinovasi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5EFE">
        <w:rPr>
          <w:rFonts w:ascii="Times New Roman" w:eastAsia="Times New Roman" w:hAnsi="Times New Roman" w:cs="Times New Roman"/>
          <w:sz w:val="24"/>
          <w:szCs w:val="24"/>
        </w:rPr>
        <w:t>selaras</w:t>
      </w:r>
      <w:proofErr w:type="spellEnd"/>
      <w:r w:rsidRPr="00605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FE" w:rsidRPr="00605EFE" w:rsidRDefault="00605EFE" w:rsidP="00605EFE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9ED" w:rsidRPr="00605EFE" w:rsidRDefault="007759ED" w:rsidP="00605EFE">
      <w:pPr>
        <w:ind w:left="720"/>
        <w:rPr>
          <w:rFonts w:ascii="Times New Roman" w:hAnsi="Times New Roman" w:cs="Times New Roman"/>
        </w:rPr>
      </w:pPr>
    </w:p>
    <w:sectPr w:rsidR="007759ED" w:rsidRPr="00605EFE" w:rsidSect="00605EFE">
      <w:footerReference w:type="default" r:id="rId11"/>
      <w:pgSz w:w="12240" w:h="15840"/>
      <w:pgMar w:top="1440" w:right="1440" w:bottom="1440" w:left="1440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D8F" w:rsidRDefault="006C3D8F" w:rsidP="00605EFE">
      <w:pPr>
        <w:spacing w:after="0" w:line="240" w:lineRule="auto"/>
      </w:pPr>
      <w:r>
        <w:separator/>
      </w:r>
    </w:p>
  </w:endnote>
  <w:endnote w:type="continuationSeparator" w:id="0">
    <w:p w:rsidR="006C3D8F" w:rsidRDefault="006C3D8F" w:rsidP="0060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778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EFE" w:rsidRDefault="00605E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EFE" w:rsidRDefault="00605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D8F" w:rsidRDefault="006C3D8F" w:rsidP="00605EFE">
      <w:pPr>
        <w:spacing w:after="0" w:line="240" w:lineRule="auto"/>
      </w:pPr>
      <w:r>
        <w:separator/>
      </w:r>
    </w:p>
  </w:footnote>
  <w:footnote w:type="continuationSeparator" w:id="0">
    <w:p w:rsidR="006C3D8F" w:rsidRDefault="006C3D8F" w:rsidP="0060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686"/>
    <w:multiLevelType w:val="multilevel"/>
    <w:tmpl w:val="CDA0EA44"/>
    <w:lvl w:ilvl="0">
      <w:start w:val="1"/>
      <w:numFmt w:val="decimal"/>
      <w:lvlText w:val="V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EE2"/>
    <w:multiLevelType w:val="multilevel"/>
    <w:tmpl w:val="A9DAB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81538"/>
    <w:multiLevelType w:val="multilevel"/>
    <w:tmpl w:val="995E1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040B3D"/>
    <w:multiLevelType w:val="multilevel"/>
    <w:tmpl w:val="9690B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B450A1"/>
    <w:multiLevelType w:val="multilevel"/>
    <w:tmpl w:val="CE1EE3D6"/>
    <w:lvl w:ilvl="0">
      <w:start w:val="1"/>
      <w:numFmt w:val="decimal"/>
      <w:lvlText w:val="V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05834">
    <w:abstractNumId w:val="4"/>
  </w:num>
  <w:num w:numId="2" w16cid:durableId="1946424971">
    <w:abstractNumId w:val="0"/>
  </w:num>
  <w:num w:numId="3" w16cid:durableId="51539618">
    <w:abstractNumId w:val="2"/>
  </w:num>
  <w:num w:numId="4" w16cid:durableId="2071146546">
    <w:abstractNumId w:val="1"/>
  </w:num>
  <w:num w:numId="5" w16cid:durableId="791169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FE"/>
    <w:rsid w:val="00605EFE"/>
    <w:rsid w:val="006836D2"/>
    <w:rsid w:val="006C3D8F"/>
    <w:rsid w:val="0077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7389"/>
  <w15:chartTrackingRefBased/>
  <w15:docId w15:val="{A0E33165-A083-43C6-9C50-D01DA8C6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FE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EFE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EFE"/>
    <w:pPr>
      <w:keepNext/>
      <w:keepLines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EFE"/>
    <w:pPr>
      <w:keepNext/>
      <w:keepLine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EFE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05EFE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05EFE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FE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F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4004</Words>
  <Characters>22824</Characters>
  <Application>Microsoft Office Word</Application>
  <DocSecurity>0</DocSecurity>
  <Lines>190</Lines>
  <Paragraphs>53</Paragraphs>
  <ScaleCrop>false</ScaleCrop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 addawami zen</dc:creator>
  <cp:keywords/>
  <dc:description/>
  <cp:lastModifiedBy>refi addawami zen</cp:lastModifiedBy>
  <cp:revision>1</cp:revision>
  <dcterms:created xsi:type="dcterms:W3CDTF">2023-07-25T04:36:00Z</dcterms:created>
  <dcterms:modified xsi:type="dcterms:W3CDTF">2023-07-25T04:41:00Z</dcterms:modified>
</cp:coreProperties>
</file>